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a3fa22947a144b5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32875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OPĆINA SOPJE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22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>I - IX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1.126.783,99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931.992,77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82,7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629.755,06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906.461,19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143,9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497.028,93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25.531,58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5,1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8.796,97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5.008,42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686.583,17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482.751,19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70,3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677.786,20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477.742,77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70,5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618.248,03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343.831,50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PRIMITAKA OD FINANCIJSKE IMOVINE I ZADUŽIVANJA (šifre 8-5)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274.416,53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180.757,27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177.794,66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98,4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razdoblju od 01. siječnja do 30. rujna 2025. godine prihodi poslovanja ostvareni su u iznosu 931.992,77 eura. Najznačajnije povećanje prihoda poslovanja ostvareno je od pomoći fiskalnog izravnanja. Najznačajnije smanjenje prihoda poslovanja odnosi se na prihode za kapitalne pomoći za projekte.
U razdoblju od 01. siječnja do 30. rujna 2025. godine rashodi poslovanja ostvareni su u iznosu 906.461,19eura. Najznačajnije povećanje rashoda evidentirano je na rashodima za zaposlene usljed povećanja plaća te zbog toga što općina provodi projekt Zaželi i javni radovi. Povećali su se rashodi za usluge tekućeg i investicijskog održavanja održavanje nerazvrstanih cesta na području općine. Najveće smanjenje rashoda poslovanja odnosi se na smanjenje kapitalnih donacija neprofitnim organizacijama.
U razdoblju od 01. siječnja do 30. rujna 2025. godine prihodi od prodaje nefinancijske imovine ostvareni su u iznosu 5.008,42 eura. Ostvareni prihod odnosi se na prihod od prodaje poljoprivrednog zemljišta u vlasništvu RH.
U razdoblju od 01. siječnja do 30. rujna 2025. godine rashodi za nabavu nefinancijske imovine ostvareni su u iznosu 482.751,19 eura. Najznačajnije smanjenje rashoda za nabavu nefinancijske imovine odnosi se na smanjenje rashoda za ceste, željeznice i ostale prometne objekte jer nije bilo ulaganja u izvještajnom razdoblju. Najznačajnije povećanje odnosi se na kupnju traktora i malčera za potrebe općine za održavanje groblja i javnih površina. 
U razdoblju od 01. siječnja do 30. rujna 2025. godine primici od financijske imovine i zaduživanja ostvareni su u iznosu 618.248,03 eura. Općina koristi prekoračenje po žiro računu.
U razdoblju od 01. siječnja do 30. rujna 2025. godine izdaci za financijsku imovinu i otplate zajmova ostvareni su u iznosu 343.831,50 eura. Općina je u izvještajnom razdoblju pokrila prekoračenje po žiro računu iznos os 343.831,50 eura.
U razdoblju od 01. siječnja do 30. rujna ostvren je višak prihoda poslovanja u iznosu 25.531,58 eura, manjak prihoda od nefinancijske imovine u iznosu 477.742,77 eura te višak od financijske imovine i zaduživanja 274.416,53 eura, slijedom čega je na kraju izvještajnog razdoblja ostvren ukupan manjak prihoda i primitaka u iznosu od 177.794,66 eura.
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Porez na dohodak od nesamostalnog rada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200.913,28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181.242,85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90,2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 Prihod od poreza na  dohodak od nesamostalnog rada u izvještajnom razdoblju  je pao s ~ 200.913,28 € na ~ 181.242,85 €, što je smanjenje od oko 9‑10 %. Najvjerojatniji glavni uzrok tog smanjenja jest kombinacija poreznih olakšica i reformi koje su smanjile efektivni oporezivi dio dohotka, a time i iznos poreza koji se puni u proračun općine.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od međunarodnih organizacija te institucija i tijela EU (šifre 6321 do 6324)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72.362,22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bilježi smanjenje jer je prihod  knjižen na drugi konto 63811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proračunu i izvanproračunskim korisnicima iz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366.455,86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67.213,22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smanjenje jer su tekuće pomoći fiskalnog izravnanja knjiže na konto 6353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pomoći proračunu i izvanproračunskim korisnicima iz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307.159,39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69.900,00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smanjenje jer je općina ostvarila prihod od ministarstva za izgradnju nogostupa u iznosu 38.000,00 eura i rekonstrukciju krovišta u iznosu 31.900,00 eura.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od izvanproračunskih korisnika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29.126,81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13.873,46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47,6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uprihodovano je od zavoda za zapošljavanje za javne radove.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6353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Pomoći fiskalnog izravnanja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6353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343.159,29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se od 01.siječnja pomoći fiskalnog izravnanja evidentiraju na kontu 6353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temeljem prijenosa EU sredstava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87.981,00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uprihodovana pomoć za projekt Zaželi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zakupa i iznajmljivanja imovine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79.655,62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101.288,25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127,2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a najveće povećanje odnosi se na zakup poljoprivrednog zemljišta u vlasništvu RH.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prihodi od nefinancijske imovine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6429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297,60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nema prometa.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vodnog gospodarstva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nema prometa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Komunalni doprinosi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nema prihoda komunalnog doprinosa.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donacije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12.600,00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nema kapitalnih donacija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prihodi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8,20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144,96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1767,8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bilo je više povrata u općinski proračun.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Plaće za redovan rad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130.310,33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205.069,77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157,4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povećanja plaća te zbog toga što općina provodi projekt Zaželi i javni radovi.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Službena putovanja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6.163,73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3.351,50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54,4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 rje načelnik bio manje na službenom putu.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Ostale naknade troškova zaposlenima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2.096,00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5.176,00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246,9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djelatnice na projektu Zaželi koriste loco vožnju.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Sitni inventar i autogume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911,49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2.563,79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281,3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 jer je nabavljeno više sitnog inventara (zastave,pisač, kompresor,)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19.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tekućeg i investicijskog održavanja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3.263,89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61.874,17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1895,7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su bili rashodi za tekuće i investicijsko održavanje nerazvrstanih cesta na području općine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promidžbe i informiranja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6.638,73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13.974,50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210,5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povećanja cijena u ugovoru za oglašavanje.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Komunalne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9.715,06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14.153,78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145,7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većih ulaznih faktura za odvoz smeća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Zakupnine i najamnine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2.243,11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607,95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zbog toga što su se manifestacije provodile preko projekta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Intelektualne i osobne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37.257,12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75.834,26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203,5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intelektualnih usluga koncerta za dravsko proljeće, izrada elaborata..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rashodi poslovanja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3299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26.293,95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51.886,33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197,3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provedbe manifestacija na području  općine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Bankarske usluge i usluge platnog prometa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1.827,85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10.337,38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565,5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toga što je općina imala rashode za ishodovanje prekoračenja po računu.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Zatezne kamate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974,40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3.720,01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381,8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obračunatih kamata po prekoračenju po računu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Subvencije trgovačkim društvima i zadrugama izvan javnog sektora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2.576,16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8.386,92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325,6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povećanih troškova trgpvačkog društva Elkomnet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Prijenosi proračunskim korisnicima iz nadležnog proračuna za financiranje rashoda poslovanja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3672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73.596,59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97.039,55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131,9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toga što su se kod proračunskog korisnika povećale plaće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29.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Naknade građanima i kućanstvima u novcu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25.772,64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30.572,21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118,6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zbog isplate Uskrsnica korisnicima ZMN-a, korisnicima nacionalne naknade te korisnicima naknade za nezaposlene hrvatske branitelje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donacije u novcu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91.800,23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102.144,92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111,3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se na natječaj za financiranje javnih potreba u sportu, kulturi i braniteljskih udruga javilo više udruga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Kapitalne donacije (šifre 3821 do 3824)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nema prometa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Kazne, penali i naknade štete (šifre 3831 do 3835)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2.572,54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nema prometa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8.796,97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5.008,42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je uprihodovano manje prihoda od prodaje poljoprivrednog zemljišta u vlasništvu RH.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Poslovni objekti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35.463,80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1.063,89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3,0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je rađeno samo pojačanje struje na zgradi dječjeg vrtića u iznosu 1.063,89 EUR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Ceste, željeznice i ostali prometni objekti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300.015,59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nije bilo ulaganja u Ceste, željeznice i ostale prometne objekte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građevinski objekti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115.784,30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142.679,05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123,2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izgrađena pješačka staza u Sopju, navodnjavanje sportski terena na NK Nova Šarovka i NK Josipovo, završeno je dječje igralište u Španatu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Uredska oprema i namještaj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2.770,00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opremljen ured koordinatora na projektu( komoda, stol)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Oprema za održavanje i zaštitu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5.741,48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nema prometa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39.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Uređaji, strojevi i oprema za ostale namjene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6.504,75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54.503,25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837,9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opremljeno dječje igralište u Španatu, kupljewna je kosilica, malčer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Prijevozna sredstva u cestovnom prometu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73.750,00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kupljen traktor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Ulaganja u računalne programe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29.747,50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rađena Implementacija digitalizacija prostornih podataka općine sopje putem webgis sustava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Ostala nematerijalna proizvedena imovina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4264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1.812,50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povećanja jer je rađena Nadogradnja pipGIS aplikacijskog sustava - modul Odvodna infrastruktura 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Dodatna ulaganja na građevinskim objektima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223.073,25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176.425,00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79,1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dolazi do smanjenja jer je u izvještajnom razdoblju rađena sanacija krovišta na društvenom domu u Vaškoj, unutarnje uređenje društvenog doma u Sopju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618.248,03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općina koristi prekoračenje po računu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343.831,50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U izvještajnom razdoblju općina je pokrila prekoračenje po računu u iznosu 343.831,50 eura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>Bilješka 46.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654.001,41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pPr>
        <w:jc w:val="both"/>
        <w:pStyle w:val="Normal"/>
        <w:spacing w:line="240" w:lineRule="auto"/>
      </w:pPr>
      <w:r>
        <w:rPr>
          <w:sz w:val="24"/>
          <w:rFonts w:ascii="Times New Roman" w:hAnsi="Times New Roman"/>
        </w:rPr>
        <w:t>Stanje dospjelih obveza na kraju izvještajnog razdoblja iznosi 654.001,41 eura, a rezultat je raskoraka u dinamici ostvarenja prihoda u odnosu na dospjele obveze. Najznačajnije dospjele obveze odnose se na jamčevine za zakup poljoprivrednog zemljišta u vlasništvu RH. Natječaj nije završen pa se jamčevine nemogu vratiti ponuditeljima. Po okončanju natječaja jamčevine če biti vraćene ponuditeljima.</w:t>
      </w:r>
    </w:p>
    <w:p/>
  </w:body>
</w:document>
</file>

<file path=word/styles.xml><?xml version="1.0" encoding="utf-8"?>
<w:styles xmlns:w="http://schemas.openxmlformats.org/wordprocessingml/2006/main"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658ed3c74b844c5" /></Relationships>
</file>